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67A" w:rsidRDefault="00DF567A">
      <w:pPr>
        <w:pStyle w:val="a3"/>
      </w:pPr>
    </w:p>
    <w:p w:rsidR="00DF567A" w:rsidRDefault="00DF567A">
      <w:pPr>
        <w:pStyle w:val="a3"/>
      </w:pPr>
      <w:r>
        <w:t>Брянская область</w:t>
      </w:r>
    </w:p>
    <w:p w:rsidR="00DF567A" w:rsidRDefault="00DF567A">
      <w:pPr>
        <w:pStyle w:val="4"/>
        <w:rPr>
          <w:rFonts w:ascii="Arial" w:hAnsi="Arial" w:cs="Arial"/>
          <w:b w:val="0"/>
          <w:i/>
          <w:sz w:val="36"/>
        </w:rPr>
      </w:pPr>
      <w:r>
        <w:rPr>
          <w:rFonts w:ascii="Arial" w:hAnsi="Arial" w:cs="Arial"/>
          <w:sz w:val="36"/>
        </w:rPr>
        <w:t>АДМИНИСТРАЦИЯ КАРАЧЕВСКОГО РАЙОНА</w:t>
      </w:r>
    </w:p>
    <w:p w:rsidR="00DF567A" w:rsidRDefault="00DF567A">
      <w:pPr>
        <w:pStyle w:val="1"/>
      </w:pPr>
      <w:r>
        <w:t>ПОСТАНОВЛЕНИЕ</w:t>
      </w:r>
    </w:p>
    <w:p w:rsidR="00DF567A" w:rsidRDefault="00DF567A">
      <w:pPr>
        <w:ind w:firstLine="284"/>
        <w:rPr>
          <w:spacing w:val="8"/>
          <w:sz w:val="16"/>
        </w:rPr>
      </w:pPr>
    </w:p>
    <w:p w:rsidR="00DF567A" w:rsidRDefault="00DF567A">
      <w:pPr>
        <w:ind w:firstLine="284"/>
        <w:rPr>
          <w:spacing w:val="8"/>
          <w:sz w:val="24"/>
        </w:rPr>
      </w:pPr>
      <w:r>
        <w:rPr>
          <w:spacing w:val="8"/>
          <w:sz w:val="24"/>
        </w:rPr>
        <w:t>От</w:t>
      </w:r>
      <w:r w:rsidR="006B7D7C">
        <w:rPr>
          <w:spacing w:val="8"/>
          <w:sz w:val="24"/>
        </w:rPr>
        <w:t xml:space="preserve"> 31.01.2025 года </w:t>
      </w:r>
      <w:r>
        <w:rPr>
          <w:spacing w:val="8"/>
          <w:sz w:val="24"/>
        </w:rPr>
        <w:t>№</w:t>
      </w:r>
      <w:r w:rsidR="006B7D7C">
        <w:rPr>
          <w:spacing w:val="8"/>
          <w:sz w:val="24"/>
        </w:rPr>
        <w:t>136</w:t>
      </w:r>
      <w:bookmarkStart w:id="0" w:name="_GoBack"/>
      <w:bookmarkEnd w:id="0"/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r>
        <w:rPr>
          <w:spacing w:val="8"/>
          <w:sz w:val="24"/>
        </w:rPr>
        <w:tab/>
      </w:r>
      <w:proofErr w:type="spellStart"/>
      <w:r>
        <w:rPr>
          <w:spacing w:val="8"/>
          <w:sz w:val="24"/>
        </w:rPr>
        <w:t>г.Карачев</w:t>
      </w:r>
      <w:proofErr w:type="spellEnd"/>
      <w:r>
        <w:rPr>
          <w:spacing w:val="8"/>
          <w:sz w:val="24"/>
        </w:rPr>
        <w:t>, Брянская обл.</w:t>
      </w:r>
    </w:p>
    <w:p w:rsidR="00DF567A" w:rsidRDefault="00DF567A">
      <w:pPr>
        <w:rPr>
          <w:spacing w:val="8"/>
          <w:sz w:val="24"/>
        </w:rPr>
      </w:pPr>
    </w:p>
    <w:p w:rsidR="002B3B23" w:rsidRDefault="002B3B23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>О внесении изменений в постановление администрации</w:t>
      </w:r>
    </w:p>
    <w:p w:rsidR="002B3B23" w:rsidRDefault="002B3B23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Карачевского района №1978 от 20.12.2024г. «</w:t>
      </w:r>
      <w:proofErr w:type="gramStart"/>
      <w:r w:rsidR="00034FFA" w:rsidRPr="00034FFA">
        <w:rPr>
          <w:bCs/>
          <w:spacing w:val="8"/>
          <w:sz w:val="28"/>
          <w:szCs w:val="28"/>
        </w:rPr>
        <w:t>Об</w:t>
      </w:r>
      <w:proofErr w:type="gramEnd"/>
      <w:r w:rsidR="00034FFA" w:rsidRPr="00034FFA">
        <w:rPr>
          <w:bCs/>
          <w:spacing w:val="8"/>
          <w:sz w:val="28"/>
          <w:szCs w:val="28"/>
        </w:rPr>
        <w:t xml:space="preserve"> 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proofErr w:type="gramStart"/>
      <w:r w:rsidRPr="00034FFA">
        <w:rPr>
          <w:bCs/>
          <w:spacing w:val="8"/>
          <w:sz w:val="28"/>
          <w:szCs w:val="28"/>
        </w:rPr>
        <w:t>утверждении</w:t>
      </w:r>
      <w:proofErr w:type="gramEnd"/>
      <w:r w:rsidRPr="00034FFA">
        <w:rPr>
          <w:bCs/>
          <w:spacing w:val="8"/>
          <w:sz w:val="28"/>
          <w:szCs w:val="28"/>
        </w:rPr>
        <w:t xml:space="preserve"> порядка определения объема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и условий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предоставления субсидий на иные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цели из бюджета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Карачевского муниципа</w:t>
      </w:r>
      <w:r w:rsidR="00E71EB9">
        <w:rPr>
          <w:bCs/>
          <w:spacing w:val="8"/>
          <w:sz w:val="28"/>
          <w:szCs w:val="28"/>
        </w:rPr>
        <w:t>льного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района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Брянской области </w:t>
      </w:r>
    </w:p>
    <w:p w:rsidR="0014422F" w:rsidRDefault="0014422F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муниципальным </w:t>
      </w:r>
      <w:r w:rsidR="00034FFA" w:rsidRPr="00034FFA">
        <w:rPr>
          <w:bCs/>
          <w:spacing w:val="8"/>
          <w:sz w:val="28"/>
          <w:szCs w:val="28"/>
        </w:rPr>
        <w:t xml:space="preserve">бюджетным </w:t>
      </w:r>
      <w:r w:rsidR="00E71EB9">
        <w:rPr>
          <w:bCs/>
          <w:spacing w:val="8"/>
          <w:sz w:val="28"/>
          <w:szCs w:val="28"/>
        </w:rPr>
        <w:t xml:space="preserve">и автономным </w:t>
      </w:r>
      <w:r w:rsidR="00034FFA" w:rsidRPr="00034FFA">
        <w:rPr>
          <w:bCs/>
          <w:spacing w:val="8"/>
          <w:sz w:val="28"/>
          <w:szCs w:val="28"/>
        </w:rPr>
        <w:t>учреждениям,</w:t>
      </w:r>
    </w:p>
    <w:p w:rsidR="0014422F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в </w:t>
      </w:r>
      <w:proofErr w:type="gramStart"/>
      <w:r w:rsidRPr="00034FFA">
        <w:rPr>
          <w:bCs/>
          <w:spacing w:val="8"/>
          <w:sz w:val="28"/>
          <w:szCs w:val="28"/>
        </w:rPr>
        <w:t>отношении</w:t>
      </w:r>
      <w:proofErr w:type="gramEnd"/>
      <w:r w:rsidRPr="00034FFA">
        <w:rPr>
          <w:bCs/>
          <w:spacing w:val="8"/>
          <w:sz w:val="28"/>
          <w:szCs w:val="28"/>
        </w:rPr>
        <w:t xml:space="preserve"> которых управление</w:t>
      </w:r>
      <w:r w:rsidR="0014422F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образования</w:t>
      </w:r>
    </w:p>
    <w:p w:rsidR="002B3B23" w:rsidRDefault="00E71EB9" w:rsidP="002B3B23">
      <w:pPr>
        <w:jc w:val="both"/>
        <w:rPr>
          <w:bCs/>
          <w:spacing w:val="8"/>
          <w:sz w:val="28"/>
          <w:szCs w:val="28"/>
        </w:rPr>
      </w:pPr>
      <w:r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 </w:t>
      </w:r>
      <w:r>
        <w:rPr>
          <w:bCs/>
          <w:spacing w:val="8"/>
          <w:sz w:val="28"/>
          <w:szCs w:val="28"/>
        </w:rPr>
        <w:t xml:space="preserve">администрации </w:t>
      </w:r>
      <w:r w:rsidR="00034FFA" w:rsidRPr="00034FFA">
        <w:rPr>
          <w:bCs/>
          <w:spacing w:val="8"/>
          <w:sz w:val="28"/>
          <w:szCs w:val="28"/>
        </w:rPr>
        <w:t>Карачевского района</w:t>
      </w:r>
      <w:r w:rsidR="002B3B23">
        <w:rPr>
          <w:bCs/>
          <w:spacing w:val="8"/>
          <w:sz w:val="28"/>
          <w:szCs w:val="28"/>
        </w:rPr>
        <w:t xml:space="preserve"> </w:t>
      </w:r>
      <w:r w:rsidR="00034FFA" w:rsidRPr="00034FFA">
        <w:rPr>
          <w:bCs/>
          <w:spacing w:val="8"/>
          <w:sz w:val="28"/>
          <w:szCs w:val="28"/>
        </w:rPr>
        <w:t xml:space="preserve"> осуществляет</w:t>
      </w:r>
    </w:p>
    <w:p w:rsidR="002B3B23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функции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и </w:t>
      </w:r>
      <w:r w:rsidR="00E71EB9">
        <w:rPr>
          <w:bCs/>
          <w:spacing w:val="8"/>
          <w:sz w:val="28"/>
          <w:szCs w:val="28"/>
        </w:rPr>
        <w:t>полномочия главного</w:t>
      </w:r>
      <w:r w:rsidR="002B3B23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 xml:space="preserve"> распорядителя</w:t>
      </w:r>
      <w:r w:rsidR="00E71EB9">
        <w:rPr>
          <w:bCs/>
          <w:spacing w:val="8"/>
          <w:sz w:val="28"/>
          <w:szCs w:val="28"/>
        </w:rPr>
        <w:t xml:space="preserve"> </w:t>
      </w:r>
    </w:p>
    <w:p w:rsidR="00034FFA" w:rsidRPr="00034FFA" w:rsidRDefault="00034FFA" w:rsidP="002B3B23">
      <w:pPr>
        <w:jc w:val="both"/>
        <w:rPr>
          <w:bCs/>
          <w:spacing w:val="8"/>
          <w:sz w:val="28"/>
          <w:szCs w:val="28"/>
        </w:rPr>
      </w:pPr>
      <w:r w:rsidRPr="00034FFA">
        <w:rPr>
          <w:bCs/>
          <w:spacing w:val="8"/>
          <w:sz w:val="28"/>
          <w:szCs w:val="28"/>
        </w:rPr>
        <w:t xml:space="preserve"> бюджетных</w:t>
      </w:r>
      <w:r w:rsidR="00E71EB9">
        <w:rPr>
          <w:bCs/>
          <w:spacing w:val="8"/>
          <w:sz w:val="28"/>
          <w:szCs w:val="28"/>
        </w:rPr>
        <w:t xml:space="preserve"> </w:t>
      </w:r>
      <w:r w:rsidRPr="00034FFA">
        <w:rPr>
          <w:bCs/>
          <w:spacing w:val="8"/>
          <w:sz w:val="28"/>
          <w:szCs w:val="28"/>
        </w:rPr>
        <w:t>средств</w:t>
      </w:r>
      <w:r w:rsidR="002B3B23">
        <w:rPr>
          <w:bCs/>
          <w:spacing w:val="8"/>
          <w:sz w:val="28"/>
          <w:szCs w:val="28"/>
        </w:rPr>
        <w:t>»</w:t>
      </w:r>
    </w:p>
    <w:p w:rsidR="00DF567A" w:rsidRDefault="00DF567A">
      <w:pPr>
        <w:rPr>
          <w:b/>
          <w:bCs/>
          <w:spacing w:val="8"/>
          <w:sz w:val="24"/>
        </w:rPr>
      </w:pPr>
    </w:p>
    <w:p w:rsidR="00431D5D" w:rsidRDefault="00034FFA" w:rsidP="00034FFA">
      <w:pPr>
        <w:pStyle w:val="ConsPlusNormal"/>
        <w:ind w:firstLine="540"/>
        <w:jc w:val="both"/>
      </w:pPr>
      <w:r>
        <w:t xml:space="preserve">В соответствии с </w:t>
      </w:r>
      <w:hyperlink r:id="rId6">
        <w:r>
          <w:rPr>
            <w:color w:val="0000FF"/>
          </w:rPr>
          <w:t>абзацем вторым пункта 1 статьи 78.1</w:t>
        </w:r>
      </w:hyperlink>
      <w:r>
        <w:t xml:space="preserve"> Бюджетного кодекса Российской Федерации, </w:t>
      </w:r>
      <w:hyperlink r:id="rId7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22.02.2020 N 203 </w:t>
      </w:r>
      <w:r w:rsidR="00E71EB9">
        <w:t>«</w:t>
      </w:r>
      <w:r>
        <w:t>Об общих требованиях к нормативным правовым актам и муниципальным правовым актам, устанавливающим порядок определения объема и условия предоставления бюджетным и автономным учреждениям субсидий на иные цели</w:t>
      </w:r>
      <w:r w:rsidR="00E71EB9">
        <w:t>»</w:t>
      </w:r>
    </w:p>
    <w:p w:rsidR="00034FFA" w:rsidRDefault="00431D5D" w:rsidP="00034FFA">
      <w:pPr>
        <w:pStyle w:val="ConsPlusNormal"/>
        <w:ind w:firstLine="540"/>
        <w:jc w:val="both"/>
      </w:pPr>
      <w:r>
        <w:t>ПОСТАНОВЛЯЮ</w:t>
      </w:r>
      <w:r w:rsidR="00034FFA">
        <w:t>:</w:t>
      </w:r>
    </w:p>
    <w:p w:rsidR="00034FFA" w:rsidRDefault="00034FFA" w:rsidP="00034FFA">
      <w:pPr>
        <w:pStyle w:val="ConsPlusNormal"/>
        <w:jc w:val="both"/>
      </w:pPr>
    </w:p>
    <w:p w:rsidR="00BF5AB8" w:rsidRDefault="002B3B23" w:rsidP="00BF5AB8">
      <w:pPr>
        <w:pStyle w:val="ConsPlusTitle"/>
        <w:numPr>
          <w:ilvl w:val="0"/>
          <w:numId w:val="1"/>
        </w:numPr>
        <w:ind w:left="0" w:firstLine="709"/>
        <w:jc w:val="both"/>
        <w:rPr>
          <w:b w:val="0"/>
          <w:szCs w:val="28"/>
        </w:rPr>
      </w:pPr>
      <w:r w:rsidRPr="00BF5AB8">
        <w:rPr>
          <w:b w:val="0"/>
          <w:szCs w:val="28"/>
        </w:rPr>
        <w:t xml:space="preserve"> </w:t>
      </w:r>
      <w:proofErr w:type="gramStart"/>
      <w:r w:rsidRPr="00BF5AB8">
        <w:rPr>
          <w:b w:val="0"/>
        </w:rPr>
        <w:t>Приложени</w:t>
      </w:r>
      <w:r w:rsidR="00020711">
        <w:rPr>
          <w:b w:val="0"/>
        </w:rPr>
        <w:t>е</w:t>
      </w:r>
      <w:r w:rsidRPr="00BF5AB8">
        <w:rPr>
          <w:b w:val="0"/>
        </w:rPr>
        <w:t xml:space="preserve"> </w:t>
      </w:r>
      <w:r w:rsidR="00BF5AB8">
        <w:rPr>
          <w:b w:val="0"/>
        </w:rPr>
        <w:t xml:space="preserve"> 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>к Порядку определения объема и условий</w:t>
      </w:r>
      <w:r w:rsidR="00BF5AB8" w:rsidRPr="00BF5AB8">
        <w:rPr>
          <w:b w:val="0"/>
        </w:rPr>
        <w:t xml:space="preserve"> </w:t>
      </w:r>
      <w:r w:rsidRPr="00BF5AB8">
        <w:rPr>
          <w:b w:val="0"/>
        </w:rPr>
        <w:t>предоставления субсидий на иные цели из бюджета Карачевского муниципального района  Брянской области муниципальным бюджетным и автономным учреждениям, в отношении которых управление образования</w:t>
      </w:r>
      <w:r w:rsidR="00BF5AB8">
        <w:rPr>
          <w:b w:val="0"/>
        </w:rPr>
        <w:t xml:space="preserve"> </w:t>
      </w:r>
      <w:r w:rsidRPr="002B3B23">
        <w:rPr>
          <w:b w:val="0"/>
        </w:rPr>
        <w:t>администрации Карачевского района осуществляет функции и полномочия главного распорядителя</w:t>
      </w:r>
      <w:r>
        <w:t xml:space="preserve">, </w:t>
      </w:r>
      <w:r w:rsidRPr="00BF5AB8">
        <w:rPr>
          <w:b w:val="0"/>
          <w:szCs w:val="28"/>
        </w:rPr>
        <w:t>утвержденному постановлением  администрации</w:t>
      </w:r>
      <w:r>
        <w:rPr>
          <w:szCs w:val="28"/>
        </w:rPr>
        <w:t xml:space="preserve"> </w:t>
      </w:r>
      <w:r w:rsidRPr="00BF5AB8">
        <w:rPr>
          <w:b w:val="0"/>
          <w:szCs w:val="28"/>
        </w:rPr>
        <w:t>Карачевского района  от 20.12.2024г. №1978</w:t>
      </w:r>
      <w:r w:rsidR="00BF5AB8">
        <w:rPr>
          <w:b w:val="0"/>
          <w:szCs w:val="28"/>
        </w:rPr>
        <w:t>г. изложить в новой редакции</w:t>
      </w:r>
      <w:r w:rsidR="00020711">
        <w:rPr>
          <w:b w:val="0"/>
          <w:szCs w:val="28"/>
        </w:rPr>
        <w:t>, согласно приложения к настоящему постановлению</w:t>
      </w:r>
      <w:r w:rsidR="00BF5AB8">
        <w:rPr>
          <w:b w:val="0"/>
          <w:szCs w:val="28"/>
        </w:rPr>
        <w:t>:</w:t>
      </w:r>
      <w:proofErr w:type="gramEnd"/>
    </w:p>
    <w:p w:rsidR="00034FFA" w:rsidRDefault="00BF5AB8" w:rsidP="00034FFA">
      <w:pPr>
        <w:pStyle w:val="ConsPlusNormal"/>
        <w:ind w:firstLine="540"/>
        <w:jc w:val="both"/>
      </w:pPr>
      <w:r>
        <w:t>2</w:t>
      </w:r>
      <w:r w:rsidR="00034FFA">
        <w:t xml:space="preserve">. Настоящее постановление </w:t>
      </w:r>
      <w:r>
        <w:t xml:space="preserve">распространяет свои действия на правоотношения </w:t>
      </w:r>
      <w:r w:rsidR="00937F66">
        <w:t xml:space="preserve"> с 1 января 2025 года</w:t>
      </w:r>
      <w:r w:rsidR="00034FFA">
        <w:t>.</w:t>
      </w:r>
    </w:p>
    <w:p w:rsidR="00034FFA" w:rsidRDefault="00BF5AB8" w:rsidP="00034FFA">
      <w:pPr>
        <w:pStyle w:val="ConsPlusNormal"/>
        <w:ind w:firstLine="540"/>
        <w:jc w:val="both"/>
      </w:pPr>
      <w:r>
        <w:t>3</w:t>
      </w:r>
      <w:r w:rsidR="00034FFA">
        <w:t xml:space="preserve">. </w:t>
      </w:r>
      <w:r w:rsidR="00226986">
        <w:t xml:space="preserve">Опубликовать </w:t>
      </w:r>
      <w:r w:rsidR="00034FFA">
        <w:t xml:space="preserve">постановление в </w:t>
      </w:r>
      <w:r w:rsidR="00937F66">
        <w:t xml:space="preserve">сборнике </w:t>
      </w:r>
      <w:r w:rsidR="00034FFA">
        <w:t>муниципальн</w:t>
      </w:r>
      <w:r w:rsidR="00937F66">
        <w:t>ых</w:t>
      </w:r>
      <w:r w:rsidR="00265227">
        <w:t xml:space="preserve"> правовых актов</w:t>
      </w:r>
      <w:r w:rsidR="00034FFA">
        <w:t xml:space="preserve"> и </w:t>
      </w:r>
      <w:proofErr w:type="gramStart"/>
      <w:r w:rsidR="00034FFA">
        <w:t>разместить его</w:t>
      </w:r>
      <w:proofErr w:type="gramEnd"/>
      <w:r w:rsidR="00034FFA">
        <w:t xml:space="preserve"> на официальном сайте в сети "Интернет".</w:t>
      </w:r>
    </w:p>
    <w:p w:rsidR="00034FFA" w:rsidRDefault="00BF5AB8" w:rsidP="00034FFA">
      <w:pPr>
        <w:pStyle w:val="ConsPlusNormal"/>
        <w:ind w:firstLine="540"/>
        <w:jc w:val="both"/>
      </w:pPr>
      <w:r>
        <w:t>4</w:t>
      </w:r>
      <w:r w:rsidR="00034FFA">
        <w:t xml:space="preserve">. </w:t>
      </w:r>
      <w:proofErr w:type="gramStart"/>
      <w:r w:rsidR="00034FFA">
        <w:t>Контроль за</w:t>
      </w:r>
      <w:proofErr w:type="gramEnd"/>
      <w:r w:rsidR="00034FFA">
        <w:t xml:space="preserve"> исполнением настоящего постановления возложить на </w:t>
      </w:r>
      <w:r w:rsidR="00265227">
        <w:t xml:space="preserve">первого </w:t>
      </w:r>
      <w:r w:rsidR="00034FFA">
        <w:t>заместителя Главы администрации</w:t>
      </w:r>
      <w:r w:rsidR="00265227">
        <w:t xml:space="preserve"> района </w:t>
      </w:r>
      <w:proofErr w:type="spellStart"/>
      <w:r w:rsidR="00265227">
        <w:t>С.А.Шкуркина</w:t>
      </w:r>
      <w:proofErr w:type="spellEnd"/>
      <w:r w:rsidR="00034FFA">
        <w:t>.</w:t>
      </w:r>
    </w:p>
    <w:p w:rsidR="004B29F3" w:rsidRDefault="004B29F3" w:rsidP="00034FFA">
      <w:pPr>
        <w:pStyle w:val="ConsPlusNormal"/>
        <w:ind w:firstLine="540"/>
        <w:jc w:val="both"/>
      </w:pPr>
    </w:p>
    <w:p w:rsidR="00020711" w:rsidRDefault="00020711" w:rsidP="00034FFA">
      <w:pPr>
        <w:pStyle w:val="ConsPlusNormal"/>
        <w:ind w:firstLine="540"/>
        <w:jc w:val="both"/>
      </w:pPr>
    </w:p>
    <w:p w:rsidR="00265227" w:rsidRDefault="00265227" w:rsidP="00034FFA">
      <w:pPr>
        <w:pStyle w:val="ConsPlusNormal"/>
        <w:ind w:firstLine="540"/>
        <w:jc w:val="both"/>
      </w:pPr>
      <w:r>
        <w:t xml:space="preserve">Глава администрации Карачевского района                  </w:t>
      </w:r>
      <w:proofErr w:type="spellStart"/>
      <w:r>
        <w:t>Р.А.Егоров</w:t>
      </w:r>
      <w:proofErr w:type="spellEnd"/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265227" w:rsidRPr="004B29F3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 xml:space="preserve">Исп. </w:t>
      </w:r>
      <w:proofErr w:type="spellStart"/>
      <w:r w:rsidRPr="004B29F3">
        <w:rPr>
          <w:sz w:val="24"/>
          <w:szCs w:val="24"/>
        </w:rPr>
        <w:t>В.Н.Фомина</w:t>
      </w:r>
      <w:proofErr w:type="spellEnd"/>
    </w:p>
    <w:p w:rsidR="00265227" w:rsidRDefault="00265227" w:rsidP="00034FFA">
      <w:pPr>
        <w:pStyle w:val="ConsPlusNormal"/>
        <w:ind w:firstLine="540"/>
        <w:jc w:val="both"/>
        <w:rPr>
          <w:sz w:val="24"/>
          <w:szCs w:val="24"/>
        </w:rPr>
      </w:pPr>
      <w:r w:rsidRPr="004B29F3">
        <w:rPr>
          <w:sz w:val="24"/>
          <w:szCs w:val="24"/>
        </w:rPr>
        <w:t>Согласовано:</w:t>
      </w:r>
    </w:p>
    <w:p w:rsidR="00020711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p w:rsidR="00020711" w:rsidRDefault="00020711" w:rsidP="00020711">
      <w:pPr>
        <w:pStyle w:val="ConsPlusNormal"/>
        <w:jc w:val="right"/>
        <w:outlineLvl w:val="1"/>
      </w:pPr>
      <w:r>
        <w:lastRenderedPageBreak/>
        <w:t>Приложение</w:t>
      </w:r>
    </w:p>
    <w:p w:rsidR="00020711" w:rsidRDefault="00020711" w:rsidP="00020711">
      <w:pPr>
        <w:pStyle w:val="ConsPlusNormal"/>
        <w:jc w:val="right"/>
      </w:pPr>
      <w:r>
        <w:t>к Порядку определения объема и условий</w:t>
      </w:r>
    </w:p>
    <w:p w:rsidR="00020711" w:rsidRDefault="00020711" w:rsidP="00020711">
      <w:pPr>
        <w:pStyle w:val="ConsPlusNormal"/>
        <w:jc w:val="right"/>
      </w:pPr>
      <w:r>
        <w:t xml:space="preserve">предоставления субсидий на иные цели </w:t>
      </w:r>
      <w:proofErr w:type="gramStart"/>
      <w:r>
        <w:t>из</w:t>
      </w:r>
      <w:proofErr w:type="gramEnd"/>
    </w:p>
    <w:p w:rsidR="00020711" w:rsidRDefault="00020711" w:rsidP="00020711">
      <w:pPr>
        <w:pStyle w:val="ConsPlusNormal"/>
        <w:jc w:val="right"/>
      </w:pPr>
      <w:r>
        <w:t>бюджета Карачевского муниципального района</w:t>
      </w:r>
    </w:p>
    <w:p w:rsidR="00020711" w:rsidRDefault="00020711" w:rsidP="00020711">
      <w:pPr>
        <w:pStyle w:val="ConsPlusNormal"/>
        <w:jc w:val="right"/>
      </w:pPr>
      <w:r>
        <w:t xml:space="preserve"> Брянской области </w:t>
      </w:r>
      <w:proofErr w:type="gramStart"/>
      <w:r>
        <w:t>муниципальным</w:t>
      </w:r>
      <w:proofErr w:type="gramEnd"/>
      <w:r>
        <w:t xml:space="preserve"> </w:t>
      </w:r>
    </w:p>
    <w:p w:rsidR="00020711" w:rsidRDefault="00020711" w:rsidP="00020711">
      <w:pPr>
        <w:pStyle w:val="ConsPlusNormal"/>
        <w:jc w:val="right"/>
      </w:pPr>
      <w:r>
        <w:t xml:space="preserve">бюджетным и автономным учреждениям, </w:t>
      </w:r>
      <w:proofErr w:type="gramStart"/>
      <w:r>
        <w:t>в</w:t>
      </w:r>
      <w:proofErr w:type="gramEnd"/>
    </w:p>
    <w:p w:rsidR="00020711" w:rsidRDefault="00020711" w:rsidP="00020711">
      <w:pPr>
        <w:pStyle w:val="ConsPlusNormal"/>
        <w:jc w:val="right"/>
      </w:pPr>
      <w:proofErr w:type="gramStart"/>
      <w:r>
        <w:t>отношении</w:t>
      </w:r>
      <w:proofErr w:type="gramEnd"/>
      <w:r>
        <w:t xml:space="preserve"> которых управление образования</w:t>
      </w:r>
    </w:p>
    <w:p w:rsidR="00020711" w:rsidRDefault="00020711" w:rsidP="00020711">
      <w:pPr>
        <w:pStyle w:val="ConsPlusNormal"/>
        <w:jc w:val="right"/>
      </w:pPr>
      <w:r>
        <w:t>администрации Карачевского района осуществляет</w:t>
      </w:r>
    </w:p>
    <w:p w:rsidR="00020711" w:rsidRDefault="00020711" w:rsidP="00020711">
      <w:pPr>
        <w:pStyle w:val="ConsPlusNormal"/>
        <w:jc w:val="right"/>
      </w:pPr>
      <w:r>
        <w:t>функции и полномочия главного распорядителя,</w:t>
      </w:r>
    </w:p>
    <w:p w:rsidR="00020711" w:rsidRDefault="00020711" w:rsidP="00020711">
      <w:pPr>
        <w:jc w:val="right"/>
        <w:rPr>
          <w:sz w:val="28"/>
          <w:szCs w:val="28"/>
        </w:rPr>
      </w:pPr>
      <w:proofErr w:type="gramStart"/>
      <w:r w:rsidRPr="00653DBF">
        <w:rPr>
          <w:sz w:val="28"/>
          <w:szCs w:val="28"/>
        </w:rPr>
        <w:t>утвержденному</w:t>
      </w:r>
      <w:proofErr w:type="gramEnd"/>
      <w:r w:rsidRPr="00653DBF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 администрации </w:t>
      </w:r>
    </w:p>
    <w:p w:rsidR="00020711" w:rsidRDefault="00020711" w:rsidP="0002071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Карачевского района  от 20.12.2024г. №1978 </w:t>
      </w:r>
    </w:p>
    <w:p w:rsidR="00020711" w:rsidRDefault="00020711" w:rsidP="00020711">
      <w:pPr>
        <w:jc w:val="right"/>
        <w:rPr>
          <w:sz w:val="28"/>
          <w:szCs w:val="28"/>
        </w:rPr>
      </w:pPr>
    </w:p>
    <w:p w:rsidR="00020711" w:rsidRDefault="00020711" w:rsidP="00020711">
      <w:pPr>
        <w:pStyle w:val="ConsPlusTitle"/>
        <w:jc w:val="center"/>
      </w:pPr>
      <w:r>
        <w:t>Перечень Субсидий</w:t>
      </w:r>
    </w:p>
    <w:p w:rsidR="00020711" w:rsidRDefault="00020711" w:rsidP="00020711">
      <w:pPr>
        <w:pStyle w:val="ConsPlusTitle"/>
        <w:jc w:val="center"/>
      </w:pPr>
      <w:r>
        <w:t>и дополнительные коды субсидий на иные цели</w:t>
      </w:r>
    </w:p>
    <w:p w:rsidR="00020711" w:rsidRDefault="00020711" w:rsidP="00020711">
      <w:pPr>
        <w:pStyle w:val="ConsPlusTitle"/>
        <w:jc w:val="center"/>
      </w:pPr>
      <w:r>
        <w:t>из бюджета Карачевского муниципального района Брянской области муниципальным бюджетным и автономным учреждениям, в отношении которых управление образования администрации Карачевского района</w:t>
      </w:r>
    </w:p>
    <w:p w:rsidR="00020711" w:rsidRDefault="00020711" w:rsidP="00020711">
      <w:pPr>
        <w:pStyle w:val="ConsPlusTitle"/>
        <w:jc w:val="center"/>
      </w:pPr>
      <w:r>
        <w:t>осуществляет функции и полномочия главного распорядителя</w:t>
      </w:r>
    </w:p>
    <w:p w:rsidR="00020711" w:rsidRDefault="00020711" w:rsidP="00020711">
      <w:pPr>
        <w:pStyle w:val="ConsPlusTitle"/>
        <w:jc w:val="center"/>
      </w:pPr>
      <w:r>
        <w:t xml:space="preserve"> бюджетных средств</w:t>
      </w:r>
    </w:p>
    <w:p w:rsidR="00020711" w:rsidRDefault="00020711" w:rsidP="00020711">
      <w:pPr>
        <w:pStyle w:val="ConsPlusTitle"/>
        <w:jc w:val="center"/>
      </w:pPr>
    </w:p>
    <w:tbl>
      <w:tblPr>
        <w:tblW w:w="0" w:type="auto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2"/>
        <w:gridCol w:w="6378"/>
        <w:gridCol w:w="2694"/>
      </w:tblGrid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№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Наименование цели субсидии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proofErr w:type="spellStart"/>
            <w:r>
              <w:t>Допкласс</w:t>
            </w:r>
            <w:proofErr w:type="spellEnd"/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муниципальным учреждениям на проведение капитального ремонта зданий и сооружений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муниципальным учреждениям на проведение текущего ремонта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6378" w:type="dxa"/>
          </w:tcPr>
          <w:p w:rsidR="00020711" w:rsidRPr="00576E09" w:rsidRDefault="00020711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proofErr w:type="gramStart"/>
            <w:r w:rsidRPr="00576E09">
              <w:rPr>
                <w:color w:val="2D2D2D"/>
                <w:spacing w:val="2"/>
                <w:sz w:val="28"/>
                <w:szCs w:val="28"/>
              </w:rPr>
              <w:t>разработку проектной документации для выполнения работ по капитальному ремонту, проведение государственной экспертизы проектной документации в случае, если государственная экспертиза является обязательной, проведение проверки достоверности определения сметной стоимости капитального ремонта и проведение капитального ремонта недвижимого имущества, закрепленного за бюджетными и автономными учреждениями на праве оперативного управления, при условии, что размер расходов на эти цели превышает 500 тысяч рублей;</w:t>
            </w:r>
            <w:proofErr w:type="gramEnd"/>
          </w:p>
          <w:p w:rsidR="00020711" w:rsidRDefault="00020711" w:rsidP="003409DB">
            <w:pPr>
              <w:pStyle w:val="ConsPlusNormal"/>
            </w:pP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муниципальным учреждениям на приобретение основных средств, за исключением объектов недвижимости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lastRenderedPageBreak/>
              <w:t>5.</w:t>
            </w:r>
          </w:p>
        </w:tc>
        <w:tc>
          <w:tcPr>
            <w:tcW w:w="6378" w:type="dxa"/>
          </w:tcPr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выполнение предписаний уполномоченных государственных органов контроля и надзора;</w:t>
            </w:r>
          </w:p>
          <w:p w:rsidR="00020711" w:rsidRDefault="00020711" w:rsidP="003409DB">
            <w:pPr>
              <w:pStyle w:val="ConsPlusNormal"/>
            </w:pP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Субсидии муниципальным учреждениям на техническое оснащение учреждений по обеспечению безопасности, в </w:t>
            </w:r>
            <w:proofErr w:type="spellStart"/>
            <w:r>
              <w:t>т.ч</w:t>
            </w:r>
            <w:proofErr w:type="spellEnd"/>
            <w:r>
              <w:t>. пожарной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муниципальным учреждениям на проведение аварийно-восстановительных работ в муниципальных учреждениях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муниципальным учреждениям на исполнение решений суда, предусматривающих оплату государственных пошлин, пени, штрафов, неустоек, процентов за пользование чужими денежными средствами и судебных издержек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Погашение кредиторской задолженности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Обеспечение затрат, связанных с реализацией проектов по обеспечению системы персонифицированного финансирования дополнительного образования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Реализация мероприятий, предусмотренных муниципальными программами, не включаемых в муниципальное задание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Приобретение спортивной формы, спортивного инвентаря для муниципальных образовательных организаций в сфере физической культуры и спорта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9460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Предоставление бесплатного питания </w:t>
            </w:r>
            <w:proofErr w:type="gramStart"/>
            <w:r>
              <w:t>обучающимся</w:t>
            </w:r>
            <w:proofErr w:type="gramEnd"/>
            <w:r>
              <w:t xml:space="preserve"> в муниципальных общеобразовательных организациях из многодетных семей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8139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муниципальным учреждениям на организацию питания учащихся в общеобразовательных учреждениях за счёт средств местного бюджета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00201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15.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на оплату питания в лагерях с дневным пребыванием в каникулярное время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00202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на организацию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00207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Приведение в соответствие с </w:t>
            </w:r>
            <w:proofErr w:type="spellStart"/>
            <w:r>
              <w:t>брендбуком</w:t>
            </w:r>
            <w:proofErr w:type="spellEnd"/>
            <w:r>
              <w:t xml:space="preserve"> «Точка </w:t>
            </w:r>
            <w:r>
              <w:lastRenderedPageBreak/>
              <w:t>роста» помещений муниципальных общеобразовательных организаций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lastRenderedPageBreak/>
              <w:t>18.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на обеспечение развития и укрепления материально-технической базы муниципальных учреждений  за счёт средств местного бюджета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00217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муниципальным образованиям для проведения лагерей с дневным пребыванием на базе учреждений образования и спорта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8047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20.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Замена оконных блоков муниципальных 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Осуществление отдельных полномочий в сфере образования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8127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Капитальный ремонт бассейнов муниципальных 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Создание цифровой образовательной среды в общеобразовательных организациях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26.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4" w:type="dxa"/>
          </w:tcPr>
          <w:p w:rsidR="00020711" w:rsidRPr="00440517" w:rsidRDefault="00020711" w:rsidP="0048252D">
            <w:pPr>
              <w:pStyle w:val="ConsPlusNormal"/>
              <w:jc w:val="center"/>
              <w:rPr>
                <w:sz w:val="24"/>
                <w:szCs w:val="24"/>
              </w:rPr>
            </w:pPr>
            <w:r w:rsidRPr="00440517">
              <w:rPr>
                <w:sz w:val="24"/>
                <w:szCs w:val="24"/>
              </w:rPr>
              <w:t>2</w:t>
            </w:r>
            <w:r w:rsidR="0048252D">
              <w:rPr>
                <w:sz w:val="24"/>
                <w:szCs w:val="24"/>
              </w:rPr>
              <w:t>5</w:t>
            </w:r>
            <w:r w:rsidRPr="00440517">
              <w:rPr>
                <w:sz w:val="24"/>
                <w:szCs w:val="24"/>
              </w:rPr>
              <w:t>51790-00000-00000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6378" w:type="dxa"/>
          </w:tcPr>
          <w:p w:rsidR="00020711" w:rsidRDefault="00020711" w:rsidP="001C1B00">
            <w:pPr>
              <w:pStyle w:val="ConsPlusNormal"/>
            </w:pPr>
            <w: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48252D">
              <w:t xml:space="preserve"> (Обеспечен</w:t>
            </w:r>
            <w:r w:rsidR="001C1B00">
              <w:t>ы</w:t>
            </w:r>
            <w:r w:rsidR="0048252D">
              <w:t xml:space="preserve"> выплаты денежного вознаграждения за классное руководство, предоставляемые педагогическим работникам образовательных  организаций ежемесячно)</w:t>
            </w:r>
          </w:p>
        </w:tc>
        <w:tc>
          <w:tcPr>
            <w:tcW w:w="2694" w:type="dxa"/>
          </w:tcPr>
          <w:p w:rsidR="00020711" w:rsidRPr="00440517" w:rsidRDefault="00020711" w:rsidP="0048252D">
            <w:pPr>
              <w:pStyle w:val="ConsPlusNormal"/>
              <w:jc w:val="center"/>
              <w:rPr>
                <w:sz w:val="24"/>
                <w:szCs w:val="24"/>
              </w:rPr>
            </w:pPr>
            <w:r w:rsidRPr="00440517">
              <w:rPr>
                <w:sz w:val="24"/>
                <w:szCs w:val="24"/>
              </w:rPr>
              <w:t>2</w:t>
            </w:r>
            <w:r w:rsidR="0048252D">
              <w:rPr>
                <w:sz w:val="24"/>
                <w:szCs w:val="24"/>
              </w:rPr>
              <w:t>553030Х29857</w:t>
            </w:r>
            <w:r w:rsidRPr="00440517">
              <w:rPr>
                <w:sz w:val="24"/>
                <w:szCs w:val="24"/>
              </w:rPr>
              <w:t>0000000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6378" w:type="dxa"/>
          </w:tcPr>
          <w:p w:rsidR="00020711" w:rsidRDefault="00020711" w:rsidP="0048252D">
            <w:pPr>
              <w:pStyle w:val="ConsPlusNormal"/>
            </w:pPr>
            <w:proofErr w:type="gramStart"/>
            <w:r>
              <w:t xml:space="preserve">Субсидии на организацию бесплатного горячего питания обучающихся, получающих начальное </w:t>
            </w:r>
            <w:r>
              <w:lastRenderedPageBreak/>
              <w:t xml:space="preserve">общее образование в государственных и муниципальных образовательных организациях </w:t>
            </w:r>
            <w:proofErr w:type="gramEnd"/>
          </w:p>
        </w:tc>
        <w:tc>
          <w:tcPr>
            <w:tcW w:w="2694" w:type="dxa"/>
          </w:tcPr>
          <w:p w:rsidR="00020711" w:rsidRPr="00440517" w:rsidRDefault="00020711" w:rsidP="0048252D">
            <w:pPr>
              <w:pStyle w:val="ConsPlusNormal"/>
              <w:jc w:val="center"/>
              <w:rPr>
                <w:sz w:val="24"/>
                <w:szCs w:val="24"/>
              </w:rPr>
            </w:pPr>
            <w:r w:rsidRPr="00440517">
              <w:rPr>
                <w:sz w:val="24"/>
                <w:szCs w:val="24"/>
              </w:rPr>
              <w:lastRenderedPageBreak/>
              <w:t>2</w:t>
            </w:r>
            <w:r w:rsidR="0048252D">
              <w:rPr>
                <w:sz w:val="24"/>
                <w:szCs w:val="24"/>
              </w:rPr>
              <w:t>5</w:t>
            </w:r>
            <w:r w:rsidRPr="00440517">
              <w:rPr>
                <w:sz w:val="24"/>
                <w:szCs w:val="24"/>
              </w:rPr>
              <w:t>-53040-0000</w:t>
            </w:r>
            <w:r w:rsidR="0048252D">
              <w:rPr>
                <w:sz w:val="24"/>
                <w:szCs w:val="24"/>
              </w:rPr>
              <w:t>0</w:t>
            </w:r>
            <w:r w:rsidRPr="00440517">
              <w:rPr>
                <w:sz w:val="24"/>
                <w:szCs w:val="24"/>
              </w:rPr>
              <w:t>-0000</w:t>
            </w:r>
            <w:r w:rsidR="0048252D">
              <w:rPr>
                <w:sz w:val="24"/>
                <w:szCs w:val="24"/>
              </w:rPr>
              <w:t>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lastRenderedPageBreak/>
              <w:t>29.</w:t>
            </w:r>
          </w:p>
        </w:tc>
        <w:tc>
          <w:tcPr>
            <w:tcW w:w="6378" w:type="dxa"/>
          </w:tcPr>
          <w:p w:rsidR="00020711" w:rsidRDefault="00020711" w:rsidP="003409DB">
            <w:pPr>
              <w:pStyle w:val="ConsPlusNormal"/>
            </w:pPr>
            <w:r>
              <w:t xml:space="preserve">Субсидии на реализацию мероприятий по модернизации школьных систем образования </w:t>
            </w:r>
          </w:p>
        </w:tc>
        <w:tc>
          <w:tcPr>
            <w:tcW w:w="2694" w:type="dxa"/>
          </w:tcPr>
          <w:p w:rsidR="00020711" w:rsidRDefault="00020711" w:rsidP="003409DB">
            <w:pPr>
              <w:pStyle w:val="ConsPlusNormal"/>
              <w:jc w:val="center"/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6378" w:type="dxa"/>
          </w:tcPr>
          <w:p w:rsidR="00020711" w:rsidRDefault="00020711" w:rsidP="001C1B00">
            <w:pPr>
              <w:pStyle w:val="ConsPlusNormal"/>
            </w:pPr>
            <w:proofErr w:type="gramStart"/>
            <w:r>
              <w:t>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</w:t>
            </w:r>
            <w:r w:rsidR="0048252D">
              <w:t>убъектов Российской Федерации, города</w:t>
            </w:r>
            <w:r>
              <w:t xml:space="preserve">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  <w:r w:rsidR="0048252D">
              <w:t xml:space="preserve"> (Обеспечен</w:t>
            </w:r>
            <w:r w:rsidR="001C1B00">
              <w:t>ы</w:t>
            </w:r>
            <w:r w:rsidR="0048252D">
              <w:t xml:space="preserve"> выплаты ежемесячного денежного вознаграж</w:t>
            </w:r>
            <w:r w:rsidR="001C1B00">
              <w:t>дения советникам директоров по воспитанию и взаимодействию с детскими общественными объединениями)</w:t>
            </w:r>
            <w:proofErr w:type="gramEnd"/>
          </w:p>
        </w:tc>
        <w:tc>
          <w:tcPr>
            <w:tcW w:w="2694" w:type="dxa"/>
          </w:tcPr>
          <w:p w:rsidR="00020711" w:rsidRPr="00A95BCA" w:rsidRDefault="00020711" w:rsidP="001C1B00">
            <w:pPr>
              <w:pStyle w:val="ConsPlusNormal"/>
              <w:rPr>
                <w:sz w:val="24"/>
                <w:szCs w:val="24"/>
              </w:rPr>
            </w:pPr>
            <w:r w:rsidRPr="00A95BCA">
              <w:rPr>
                <w:sz w:val="24"/>
                <w:szCs w:val="24"/>
              </w:rPr>
              <w:t>2</w:t>
            </w:r>
            <w:r w:rsidR="001C1B00">
              <w:rPr>
                <w:sz w:val="24"/>
                <w:szCs w:val="24"/>
              </w:rPr>
              <w:t>5</w:t>
            </w:r>
            <w:r w:rsidRPr="00A95BCA">
              <w:rPr>
                <w:sz w:val="24"/>
                <w:szCs w:val="24"/>
              </w:rPr>
              <w:t>50500</w:t>
            </w:r>
            <w:r w:rsidR="001C1B00">
              <w:rPr>
                <w:sz w:val="24"/>
                <w:szCs w:val="24"/>
              </w:rPr>
              <w:t>Х29832</w:t>
            </w:r>
            <w:r w:rsidRPr="00A95BCA">
              <w:rPr>
                <w:sz w:val="24"/>
                <w:szCs w:val="24"/>
              </w:rPr>
              <w:t>0000000</w:t>
            </w: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31.</w:t>
            </w:r>
          </w:p>
        </w:tc>
        <w:tc>
          <w:tcPr>
            <w:tcW w:w="6378" w:type="dxa"/>
          </w:tcPr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реализацию мероприятий, предусмотренных муниципальными программами, не включаемых в муниципальное задание;</w:t>
            </w:r>
          </w:p>
          <w:p w:rsidR="00020711" w:rsidRDefault="00020711" w:rsidP="003409DB">
            <w:pPr>
              <w:pStyle w:val="ConsPlusNormal"/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6378" w:type="dxa"/>
          </w:tcPr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содержание учреждений (зданий), находящихся в стадии строительства или  капитально</w:t>
            </w:r>
            <w:r>
              <w:rPr>
                <w:color w:val="2D2D2D"/>
                <w:spacing w:val="2"/>
                <w:sz w:val="28"/>
                <w:szCs w:val="28"/>
              </w:rPr>
              <w:t>го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t xml:space="preserve"> ремонт</w:t>
            </w:r>
            <w:r>
              <w:rPr>
                <w:color w:val="2D2D2D"/>
                <w:spacing w:val="2"/>
                <w:sz w:val="28"/>
                <w:szCs w:val="28"/>
              </w:rPr>
              <w:t>а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t>, а также на содержание имущества, не используемого для оказания муниципальных услуг;</w:t>
            </w:r>
          </w:p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33.</w:t>
            </w:r>
          </w:p>
        </w:tc>
        <w:tc>
          <w:tcPr>
            <w:tcW w:w="6378" w:type="dxa"/>
          </w:tcPr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>предоставление (получение грантов);</w:t>
            </w:r>
          </w:p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  <w:tr w:rsidR="00020711" w:rsidTr="0048252D">
        <w:tc>
          <w:tcPr>
            <w:tcW w:w="852" w:type="dxa"/>
          </w:tcPr>
          <w:p w:rsidR="00020711" w:rsidRDefault="00020711" w:rsidP="003409DB">
            <w:pPr>
              <w:pStyle w:val="ConsPlusNormal"/>
              <w:jc w:val="center"/>
            </w:pPr>
            <w:r>
              <w:t>34.</w:t>
            </w:r>
          </w:p>
        </w:tc>
        <w:tc>
          <w:tcPr>
            <w:tcW w:w="6378" w:type="dxa"/>
          </w:tcPr>
          <w:p w:rsidR="00020711" w:rsidRPr="00576E09" w:rsidRDefault="00020711" w:rsidP="003409DB">
            <w:pPr>
              <w:shd w:val="clear" w:color="auto" w:fill="FFFFFF"/>
              <w:spacing w:line="315" w:lineRule="atLeast"/>
              <w:jc w:val="both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  <w:r w:rsidRPr="00576E09">
              <w:rPr>
                <w:color w:val="2D2D2D"/>
                <w:spacing w:val="2"/>
                <w:sz w:val="28"/>
                <w:szCs w:val="28"/>
              </w:rPr>
              <w:t xml:space="preserve">иные расходы, не указанные в подпунктах 1 - </w:t>
            </w:r>
            <w:r>
              <w:rPr>
                <w:color w:val="2D2D2D"/>
                <w:spacing w:val="2"/>
                <w:sz w:val="28"/>
                <w:szCs w:val="28"/>
              </w:rPr>
              <w:t>33</w:t>
            </w:r>
            <w:r w:rsidRPr="00576E09">
              <w:rPr>
                <w:color w:val="2D2D2D"/>
                <w:spacing w:val="2"/>
                <w:sz w:val="28"/>
                <w:szCs w:val="28"/>
              </w:rPr>
              <w:t xml:space="preserve"> настоящего пункта, не учтенные в нормативных затратах на оказание муниципальных услуг, связанных с выполнением работ, осуществляемые в соответствии с решением Учредителя в целях реализации мероприятий, предусмотренных муниципальными программами, непрограммных направлений расходов</w:t>
            </w:r>
          </w:p>
          <w:p w:rsidR="00020711" w:rsidRPr="00576E09" w:rsidRDefault="00020711" w:rsidP="003409DB">
            <w:pPr>
              <w:shd w:val="clear" w:color="auto" w:fill="FFFFFF"/>
              <w:spacing w:line="315" w:lineRule="atLeast"/>
              <w:textAlignment w:val="baseline"/>
              <w:rPr>
                <w:color w:val="2D2D2D"/>
                <w:spacing w:val="2"/>
                <w:sz w:val="28"/>
                <w:szCs w:val="28"/>
              </w:rPr>
            </w:pPr>
          </w:p>
        </w:tc>
        <w:tc>
          <w:tcPr>
            <w:tcW w:w="2694" w:type="dxa"/>
          </w:tcPr>
          <w:p w:rsidR="00020711" w:rsidRPr="00A95BCA" w:rsidRDefault="00020711" w:rsidP="003409DB">
            <w:pPr>
              <w:pStyle w:val="ConsPlusNormal"/>
              <w:rPr>
                <w:sz w:val="24"/>
                <w:szCs w:val="24"/>
              </w:rPr>
            </w:pPr>
          </w:p>
        </w:tc>
      </w:tr>
    </w:tbl>
    <w:p w:rsidR="00020711" w:rsidRDefault="00020711" w:rsidP="00020711">
      <w:pPr>
        <w:pStyle w:val="ConsPlusTitle"/>
        <w:jc w:val="center"/>
      </w:pPr>
    </w:p>
    <w:p w:rsidR="00020711" w:rsidRPr="00653DBF" w:rsidRDefault="00020711" w:rsidP="00020711">
      <w:pPr>
        <w:jc w:val="center"/>
        <w:rPr>
          <w:spacing w:val="8"/>
          <w:sz w:val="28"/>
          <w:szCs w:val="28"/>
        </w:rPr>
      </w:pPr>
    </w:p>
    <w:p w:rsidR="00020711" w:rsidRPr="00653DBF" w:rsidRDefault="00020711" w:rsidP="00020711">
      <w:pPr>
        <w:jc w:val="both"/>
        <w:rPr>
          <w:i/>
          <w:iCs/>
          <w:spacing w:val="8"/>
          <w:sz w:val="28"/>
          <w:szCs w:val="28"/>
        </w:rPr>
      </w:pPr>
    </w:p>
    <w:p w:rsidR="00020711" w:rsidRDefault="00020711" w:rsidP="00020711">
      <w:pPr>
        <w:jc w:val="both"/>
        <w:rPr>
          <w:i/>
          <w:iCs/>
          <w:spacing w:val="8"/>
          <w:sz w:val="24"/>
        </w:rPr>
      </w:pPr>
    </w:p>
    <w:p w:rsidR="00020711" w:rsidRPr="004B29F3" w:rsidRDefault="00020711" w:rsidP="00034FFA">
      <w:pPr>
        <w:pStyle w:val="ConsPlusNormal"/>
        <w:ind w:firstLine="540"/>
        <w:jc w:val="both"/>
        <w:rPr>
          <w:sz w:val="24"/>
          <w:szCs w:val="24"/>
        </w:rPr>
      </w:pPr>
    </w:p>
    <w:sectPr w:rsidR="00020711" w:rsidRPr="004B29F3" w:rsidSect="004B29F3">
      <w:pgSz w:w="11907" w:h="16840" w:code="9"/>
      <w:pgMar w:top="567" w:right="567" w:bottom="28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E4A64"/>
    <w:multiLevelType w:val="hybridMultilevel"/>
    <w:tmpl w:val="306ACF96"/>
    <w:lvl w:ilvl="0" w:tplc="4B1E551A">
      <w:start w:val="1"/>
      <w:numFmt w:val="decimal"/>
      <w:lvlText w:val="%1."/>
      <w:lvlJc w:val="left"/>
      <w:pPr>
        <w:ind w:left="199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21"/>
    <w:rsid w:val="00007F2C"/>
    <w:rsid w:val="00015EE8"/>
    <w:rsid w:val="00020711"/>
    <w:rsid w:val="00026A95"/>
    <w:rsid w:val="00034FFA"/>
    <w:rsid w:val="00057BFF"/>
    <w:rsid w:val="00096EBF"/>
    <w:rsid w:val="000B5588"/>
    <w:rsid w:val="000E696F"/>
    <w:rsid w:val="000E713E"/>
    <w:rsid w:val="000E724A"/>
    <w:rsid w:val="00102598"/>
    <w:rsid w:val="001169DD"/>
    <w:rsid w:val="001250C5"/>
    <w:rsid w:val="0013696A"/>
    <w:rsid w:val="00136B0A"/>
    <w:rsid w:val="0014422F"/>
    <w:rsid w:val="00171634"/>
    <w:rsid w:val="00176967"/>
    <w:rsid w:val="0018644F"/>
    <w:rsid w:val="00190875"/>
    <w:rsid w:val="001C1B00"/>
    <w:rsid w:val="001D4C8C"/>
    <w:rsid w:val="00222148"/>
    <w:rsid w:val="00226986"/>
    <w:rsid w:val="002375EF"/>
    <w:rsid w:val="00265227"/>
    <w:rsid w:val="002B13B7"/>
    <w:rsid w:val="002B3B23"/>
    <w:rsid w:val="002C315E"/>
    <w:rsid w:val="002D2E8D"/>
    <w:rsid w:val="003131E3"/>
    <w:rsid w:val="00331508"/>
    <w:rsid w:val="00336C12"/>
    <w:rsid w:val="003C05DB"/>
    <w:rsid w:val="003C2D7A"/>
    <w:rsid w:val="00403A0D"/>
    <w:rsid w:val="00427243"/>
    <w:rsid w:val="00431D5D"/>
    <w:rsid w:val="00440517"/>
    <w:rsid w:val="0048252D"/>
    <w:rsid w:val="004B29F3"/>
    <w:rsid w:val="004E4E6F"/>
    <w:rsid w:val="005164B8"/>
    <w:rsid w:val="005362D3"/>
    <w:rsid w:val="005818D9"/>
    <w:rsid w:val="005849E6"/>
    <w:rsid w:val="0059648F"/>
    <w:rsid w:val="005A3960"/>
    <w:rsid w:val="005F6D75"/>
    <w:rsid w:val="006061C6"/>
    <w:rsid w:val="00630FE6"/>
    <w:rsid w:val="00653DBF"/>
    <w:rsid w:val="006B6031"/>
    <w:rsid w:val="006B7D7C"/>
    <w:rsid w:val="00704E29"/>
    <w:rsid w:val="00706059"/>
    <w:rsid w:val="00726D4B"/>
    <w:rsid w:val="00732B94"/>
    <w:rsid w:val="00741290"/>
    <w:rsid w:val="007418CF"/>
    <w:rsid w:val="00752417"/>
    <w:rsid w:val="00793F2B"/>
    <w:rsid w:val="007C4726"/>
    <w:rsid w:val="00847DBF"/>
    <w:rsid w:val="0087605A"/>
    <w:rsid w:val="008C3C93"/>
    <w:rsid w:val="008E5401"/>
    <w:rsid w:val="008F588E"/>
    <w:rsid w:val="008F707B"/>
    <w:rsid w:val="00937F66"/>
    <w:rsid w:val="0094629A"/>
    <w:rsid w:val="00961143"/>
    <w:rsid w:val="009653EB"/>
    <w:rsid w:val="009B60A8"/>
    <w:rsid w:val="009F7CBF"/>
    <w:rsid w:val="00A73758"/>
    <w:rsid w:val="00A739FE"/>
    <w:rsid w:val="00A769F9"/>
    <w:rsid w:val="00A95BCA"/>
    <w:rsid w:val="00AD525E"/>
    <w:rsid w:val="00B10E69"/>
    <w:rsid w:val="00B11900"/>
    <w:rsid w:val="00B138F3"/>
    <w:rsid w:val="00B17305"/>
    <w:rsid w:val="00B93149"/>
    <w:rsid w:val="00BA3B3A"/>
    <w:rsid w:val="00BA76BB"/>
    <w:rsid w:val="00BB68A6"/>
    <w:rsid w:val="00BC2C51"/>
    <w:rsid w:val="00BC65C1"/>
    <w:rsid w:val="00BE4BFC"/>
    <w:rsid w:val="00BF5AB8"/>
    <w:rsid w:val="00C2456B"/>
    <w:rsid w:val="00C31BD1"/>
    <w:rsid w:val="00C31C79"/>
    <w:rsid w:val="00C46E18"/>
    <w:rsid w:val="00CB1AD9"/>
    <w:rsid w:val="00CC5E4B"/>
    <w:rsid w:val="00CD001B"/>
    <w:rsid w:val="00CD4A3B"/>
    <w:rsid w:val="00CD5012"/>
    <w:rsid w:val="00CF07E2"/>
    <w:rsid w:val="00D36C22"/>
    <w:rsid w:val="00D454BA"/>
    <w:rsid w:val="00D67102"/>
    <w:rsid w:val="00D67E95"/>
    <w:rsid w:val="00DB0A49"/>
    <w:rsid w:val="00DF3282"/>
    <w:rsid w:val="00DF567A"/>
    <w:rsid w:val="00DF795D"/>
    <w:rsid w:val="00E45BB9"/>
    <w:rsid w:val="00E709D3"/>
    <w:rsid w:val="00E71EB9"/>
    <w:rsid w:val="00EC0CFF"/>
    <w:rsid w:val="00EE0721"/>
    <w:rsid w:val="00F20252"/>
    <w:rsid w:val="00F6478C"/>
    <w:rsid w:val="00F67634"/>
    <w:rsid w:val="00F67D30"/>
    <w:rsid w:val="00F67F1F"/>
    <w:rsid w:val="00FA0A8B"/>
    <w:rsid w:val="00FD35AF"/>
    <w:rsid w:val="00FD68A7"/>
    <w:rsid w:val="00FE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pBdr>
        <w:bottom w:val="thickThinSmallGap" w:sz="24" w:space="1" w:color="auto"/>
      </w:pBdr>
      <w:jc w:val="center"/>
      <w:outlineLvl w:val="0"/>
    </w:pPr>
    <w:rPr>
      <w:rFonts w:ascii="Arial" w:hAnsi="Arial"/>
      <w:b/>
      <w:caps/>
      <w:sz w:val="4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caps/>
      <w:spacing w:val="4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iCs/>
      <w:smallCaps/>
      <w:sz w:val="32"/>
    </w:rPr>
  </w:style>
  <w:style w:type="paragraph" w:customStyle="1" w:styleId="ConsPlusTitle">
    <w:name w:val="ConsPlusTitle"/>
    <w:rsid w:val="00034FFA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rmal">
    <w:name w:val="ConsPlusNormal"/>
    <w:rsid w:val="00034FFA"/>
    <w:pPr>
      <w:widowControl w:val="0"/>
      <w:autoSpaceDE w:val="0"/>
      <w:autoSpaceDN w:val="0"/>
    </w:pPr>
    <w:rPr>
      <w:rFonts w:eastAsiaTheme="minorEastAsia"/>
      <w:sz w:val="28"/>
      <w:szCs w:val="22"/>
    </w:rPr>
  </w:style>
  <w:style w:type="paragraph" w:styleId="a4">
    <w:name w:val="Balloon Text"/>
    <w:basedOn w:val="a"/>
    <w:link w:val="a5"/>
    <w:rsid w:val="00B10E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B10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8567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69774&amp;dst=314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mina\Desktop\&#1073;&#1083;&#1072;&#1085;&#1082;&#1080;\&#1041;&#1083;&#1072;&#1085;&#1082;%20-&#1087;&#1086;&#1089;&#1090;&#1072;&#1085;&#1086;&#1074;&#1083;&#1077;&#1085;&#1080;&#1077;%20&#1072;&#1076;.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-постановление ад. района.dot</Template>
  <TotalTime>96</TotalTime>
  <Pages>5</Pages>
  <Words>1262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ГАС "Выборы"</Company>
  <LinksUpToDate>false</LinksUpToDate>
  <CharactersWithSpaces>8440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9</cp:revision>
  <cp:lastPrinted>2024-12-19T06:50:00Z</cp:lastPrinted>
  <dcterms:created xsi:type="dcterms:W3CDTF">2025-01-29T13:41:00Z</dcterms:created>
  <dcterms:modified xsi:type="dcterms:W3CDTF">2025-02-03T08:01:00Z</dcterms:modified>
</cp:coreProperties>
</file>